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B2AFE" w:rsidRPr="008037B7" w:rsidTr="001D2BE8">
        <w:trPr>
          <w:trHeight w:val="1414"/>
        </w:trPr>
        <w:tc>
          <w:tcPr>
            <w:tcW w:w="2093" w:type="dxa"/>
            <w:shd w:val="clear" w:color="auto" w:fill="auto"/>
          </w:tcPr>
          <w:p w:rsidR="00CB2AFE" w:rsidRPr="008037B7" w:rsidRDefault="00CB2AFE" w:rsidP="001D2B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37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B2AFE" w:rsidRPr="00DD5478" w:rsidRDefault="00CB2AFE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478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CB2AFE" w:rsidRDefault="00CB2AFE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 решению </w:t>
            </w:r>
            <w:r w:rsidRPr="00DD5478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CB2AFE" w:rsidRPr="00DD5478" w:rsidRDefault="00CB2AFE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478">
              <w:rPr>
                <w:rFonts w:ascii="Arial" w:hAnsi="Arial" w:cs="Arial"/>
                <w:sz w:val="20"/>
                <w:szCs w:val="20"/>
              </w:rPr>
              <w:t>Металлургического</w:t>
            </w:r>
            <w:r w:rsidRPr="00DD54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r w:rsidRPr="00DD5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AFE" w:rsidRPr="00A31BB0" w:rsidRDefault="00CB2AFE" w:rsidP="001D2BE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B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07.02.2019</w:t>
            </w:r>
            <w:r w:rsidRPr="00A31BB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41/3</w:t>
            </w:r>
          </w:p>
          <w:p w:rsidR="00CB2AFE" w:rsidRPr="00282892" w:rsidRDefault="00CB2AFE" w:rsidP="001D2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</w:t>
            </w:r>
          </w:p>
        </w:tc>
      </w:tr>
    </w:tbl>
    <w:p w:rsidR="00CB2AFE" w:rsidRPr="00DF5F23" w:rsidRDefault="00CB2AFE" w:rsidP="00CB2A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AFE" w:rsidRDefault="00CB2AFE" w:rsidP="00CB2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1F69CF">
        <w:rPr>
          <w:rFonts w:ascii="Times New Roman" w:hAnsi="Times New Roman" w:cs="Times New Roman"/>
          <w:b/>
          <w:szCs w:val="24"/>
        </w:rPr>
        <w:t xml:space="preserve">Порядок организации и проведения процедуры голосования по отбору общественных территорий Металлургического района города Челябинска, подлежащих благоустройству </w:t>
      </w:r>
      <w:r>
        <w:rPr>
          <w:rFonts w:ascii="Times New Roman" w:hAnsi="Times New Roman" w:cs="Times New Roman"/>
          <w:b/>
          <w:szCs w:val="24"/>
        </w:rPr>
        <w:t xml:space="preserve">в 2023-2024 гг., </w:t>
      </w:r>
      <w:r w:rsidRPr="001F69CF">
        <w:rPr>
          <w:rFonts w:ascii="Times New Roman" w:hAnsi="Times New Roman" w:cs="Times New Roman"/>
          <w:b/>
          <w:szCs w:val="24"/>
        </w:rPr>
        <w:t>в соответствии с государственной программой «Формирование комфортной городской среды Челябинской области на 20</w:t>
      </w:r>
      <w:r>
        <w:rPr>
          <w:rFonts w:ascii="Times New Roman" w:hAnsi="Times New Roman" w:cs="Times New Roman"/>
          <w:b/>
          <w:szCs w:val="24"/>
        </w:rPr>
        <w:t>18</w:t>
      </w:r>
      <w:r w:rsidRPr="001F69CF">
        <w:rPr>
          <w:rFonts w:ascii="Times New Roman" w:hAnsi="Times New Roman" w:cs="Times New Roman"/>
          <w:b/>
          <w:szCs w:val="24"/>
        </w:rPr>
        <w:t xml:space="preserve"> - 202</w:t>
      </w:r>
      <w:r>
        <w:rPr>
          <w:rFonts w:ascii="Times New Roman" w:hAnsi="Times New Roman" w:cs="Times New Roman"/>
          <w:b/>
          <w:szCs w:val="24"/>
        </w:rPr>
        <w:t>2</w:t>
      </w:r>
      <w:r w:rsidRPr="001F69CF">
        <w:rPr>
          <w:rFonts w:ascii="Times New Roman" w:hAnsi="Times New Roman" w:cs="Times New Roman"/>
          <w:b/>
          <w:szCs w:val="24"/>
        </w:rPr>
        <w:t xml:space="preserve"> годы»</w:t>
      </w:r>
    </w:p>
    <w:p w:rsidR="00CB2AFE" w:rsidRPr="001F69CF" w:rsidRDefault="00CB2AFE" w:rsidP="00CB2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B2AFE" w:rsidRPr="0075495D" w:rsidRDefault="00CB2AFE" w:rsidP="00CB2AF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2AFE" w:rsidRPr="001F69CF" w:rsidRDefault="00CB2AFE" w:rsidP="00CB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6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1.1.Голосование по проектам благоустройства общественных территорий </w:t>
      </w:r>
      <w:r w:rsidRPr="00B6670B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Челябинска, подлежащих благоустройству в 2023-2024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70B">
        <w:rPr>
          <w:rFonts w:ascii="Times New Roman" w:hAnsi="Times New Roman" w:cs="Times New Roman"/>
          <w:sz w:val="24"/>
          <w:szCs w:val="24"/>
        </w:rPr>
        <w:t>, в соответствии с государственной программой «Формирование комфортной городской среды Челябинской области на 2018 - 2022 годы» субъекта Российской Федерации (далее – «голосование по общественным территориям», «голосование»)</w:t>
      </w:r>
      <w:r w:rsidRPr="00B66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</w:t>
      </w:r>
      <w:r w:rsidRPr="00B6670B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</w:t>
      </w:r>
      <w:r w:rsidRPr="00B66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определению </w:t>
      </w:r>
      <w:r w:rsidRPr="00B6670B">
        <w:rPr>
          <w:rFonts w:ascii="Times New Roman" w:hAnsi="Times New Roman" w:cs="Times New Roman"/>
          <w:sz w:val="24"/>
          <w:szCs w:val="24"/>
        </w:rPr>
        <w:t>общественных территорий, подлежащих благоустройству</w:t>
      </w:r>
      <w:r w:rsidRPr="00B667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Советом депутатов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1F69CF">
        <w:rPr>
          <w:rFonts w:ascii="Times New Roman" w:hAnsi="Times New Roman" w:cs="Times New Roman"/>
          <w:sz w:val="24"/>
          <w:szCs w:val="24"/>
        </w:rPr>
        <w:t xml:space="preserve"> города Челябинска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принятого решения Общественной комиссией </w:t>
      </w:r>
      <w:r w:rsidRPr="001F69C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по организации голосования по отбору общественных территорий, подлежащих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670B">
        <w:rPr>
          <w:rFonts w:ascii="Times New Roman" w:hAnsi="Times New Roman" w:cs="Times New Roman"/>
          <w:sz w:val="24"/>
          <w:szCs w:val="24"/>
        </w:rPr>
        <w:t>2023-2024 гг.,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9C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«Формирование комфортной городской среды Челябинской области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F69CF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9CF">
        <w:rPr>
          <w:rFonts w:ascii="Times New Roman" w:hAnsi="Times New Roman" w:cs="Times New Roman"/>
          <w:sz w:val="24"/>
          <w:szCs w:val="24"/>
        </w:rPr>
        <w:t xml:space="preserve"> годы» (далее – Общественная комиссия).</w:t>
      </w:r>
      <w:proofErr w:type="gramEnd"/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1F69CF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1.3.В нормативном правовом акте </w:t>
      </w: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1F69CF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proofErr w:type="gramEnd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время, сроки проведения голосования;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голосования;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5) дополнительные сведения, необходимые для проведения голосования.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5495D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1B3B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r w:rsidRPr="001B3BF6">
        <w:rPr>
          <w:rFonts w:ascii="Times New Roman" w:hAnsi="Times New Roman" w:cs="Times New Roman"/>
          <w:sz w:val="24"/>
          <w:szCs w:val="24"/>
          <w:highlight w:val="yellow"/>
        </w:rPr>
        <w:t>Металлургического</w:t>
      </w:r>
      <w:r w:rsidRPr="0075495D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района</w:t>
      </w:r>
      <w:r w:rsidRPr="007549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5495D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в информационно-телекоммуникационной сети «Интернет» не менее чем за двадцать  дней до дня его проведения.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1.5. Проведение голосования организует и обеспечивает Общественная комиссия. Общественная комиссия: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 осуществляет полномочия, определенные муниципальным правовым актом </w:t>
      </w: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Совета депутатов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</w:t>
      </w:r>
      <w:proofErr w:type="gramEnd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CF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1.7.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1F69CF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1.9.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CB2AFE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1.10.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 иную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документацию,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связан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ную   с   подготовкой и проведением</w:t>
      </w:r>
    </w:p>
    <w:p w:rsidR="00CB2AFE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олосования, Общественная комиссия передает в территориальные счетные комиссии.  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10"/>
          <w:szCs w:val="24"/>
          <w:lang w:eastAsia="en-US"/>
        </w:rPr>
      </w:pPr>
    </w:p>
    <w:p w:rsidR="00CB2AFE" w:rsidRDefault="00CB2AFE" w:rsidP="00CB2AFE">
      <w:pPr>
        <w:pStyle w:val="ConsPlusNormal"/>
        <w:ind w:left="148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II. </w:t>
      </w:r>
      <w:r w:rsidRPr="001F6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процедуры рейтингового голосования</w:t>
      </w:r>
    </w:p>
    <w:p w:rsidR="00CB2AFE" w:rsidRPr="001F69CF" w:rsidRDefault="00CB2AFE" w:rsidP="00CB2AFE">
      <w:pPr>
        <w:pStyle w:val="ConsPlusNormal"/>
        <w:ind w:left="148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69CF">
        <w:rPr>
          <w:rFonts w:ascii="Times New Roman" w:hAnsi="Times New Roman" w:cs="Times New Roman"/>
          <w:sz w:val="24"/>
          <w:szCs w:val="24"/>
        </w:rPr>
        <w:t>2.1.Голосование может проводиться в форме:</w:t>
      </w:r>
    </w:p>
    <w:p w:rsidR="00CB2AFE" w:rsidRPr="001F69CF" w:rsidRDefault="00CB2AFE" w:rsidP="00CB2AF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69CF">
        <w:rPr>
          <w:rFonts w:ascii="Times New Roman" w:hAnsi="Times New Roman" w:cs="Times New Roman"/>
          <w:sz w:val="24"/>
          <w:szCs w:val="24"/>
        </w:rPr>
        <w:t xml:space="preserve">1) открытого голосования на счетных участках, в том числе </w:t>
      </w:r>
      <w:r w:rsidRPr="001F69CF">
        <w:rPr>
          <w:rFonts w:ascii="Times New Roman" w:hAnsi="Times New Roman" w:cs="Times New Roman"/>
          <w:sz w:val="24"/>
          <w:szCs w:val="24"/>
        </w:rPr>
        <w:br/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(далее - открытое голосование).</w:t>
      </w: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9CF">
        <w:rPr>
          <w:rFonts w:ascii="Times New Roman" w:hAnsi="Times New Roman" w:cs="Times New Roman"/>
          <w:sz w:val="24"/>
          <w:szCs w:val="24"/>
        </w:rPr>
        <w:t xml:space="preserve">2.2. Открытое голосование проводится на территориальных счетных участках путем заполнения бюллетеней. </w:t>
      </w:r>
    </w:p>
    <w:p w:rsidR="00CB2AFE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10"/>
          <w:szCs w:val="24"/>
          <w:lang w:eastAsia="en-US"/>
        </w:rPr>
      </w:pPr>
    </w:p>
    <w:p w:rsidR="00CB2AFE" w:rsidRPr="001F69CF" w:rsidRDefault="00CB2AFE" w:rsidP="00CB2AFE">
      <w:pPr>
        <w:pStyle w:val="ConsPlusNormal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 процедуры голосования</w:t>
      </w:r>
    </w:p>
    <w:p w:rsidR="00CB2AFE" w:rsidRPr="001F69CF" w:rsidRDefault="00CB2AFE" w:rsidP="00CB2AFE">
      <w:pPr>
        <w:pStyle w:val="ConsPlusNormal"/>
        <w:ind w:left="1489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CB2AFE" w:rsidRPr="001F69CF" w:rsidRDefault="00CB2AFE" w:rsidP="00CB2AFE">
      <w:pPr>
        <w:pStyle w:val="ConsPlusNormal"/>
        <w:numPr>
          <w:ilvl w:val="1"/>
          <w:numId w:val="1"/>
        </w:numPr>
        <w:ind w:left="1134" w:hanging="425"/>
        <w:jc w:val="both"/>
        <w:rPr>
          <w:rStyle w:val="blk"/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Style w:val="blk"/>
          <w:rFonts w:ascii="Times New Roman" w:hAnsi="Times New Roman" w:cs="Times New Roman"/>
          <w:sz w:val="24"/>
          <w:szCs w:val="24"/>
        </w:rPr>
        <w:t>Голосование проводится путем внесения участником голосования в бюллетень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общественной территории, в пользу которой сделан выбор. 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3.2.Участник голосования имеет право отметить в бюллетене не более одного проекта.</w:t>
      </w:r>
    </w:p>
    <w:p w:rsidR="00CB2AFE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3.3.  Голосование проводится на территориальных счетных участках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3.4.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бюллетеня участник голосования предъявляет члену территориальной счетной комиссии паспорт гражданина Российской Федерации или иной документ удостоверяющий личность. </w:t>
      </w: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3.5. 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одну общественную территорию.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Территориальные счетные комисс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формируют список участников г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олосования, в который рекомендуется включать граждан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достигших 14-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летнего возраста и проживающих на территории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проводится рейтинговое голосование. </w:t>
      </w: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3.7.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CB2AFE" w:rsidRPr="001F69CF" w:rsidRDefault="00CB2AFE" w:rsidP="00CB2AF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графа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проставления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участником   голосования   подписи   за   полученный  им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 для голосования;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2)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1F69C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2006 г. № 152-ФЗ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«О персональных данных»;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3.8. Участник голосования ставит любой знак в квадрате напротив общественной территории, за которую он собирается голосовать.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3.9. После заполнения бюллетеня участник голосования опускает заполненный бюллетень в ящик для голосования. </w:t>
      </w:r>
    </w:p>
    <w:p w:rsidR="00CB2AFE" w:rsidRPr="001F69CF" w:rsidRDefault="00CB2AFE" w:rsidP="00CB2A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3.10. 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CB2AFE" w:rsidRPr="001F69CF" w:rsidRDefault="00CB2AFE" w:rsidP="00CB2AFE">
      <w:pPr>
        <w:widowControl w:val="0"/>
        <w:autoSpaceDE w:val="0"/>
        <w:autoSpaceDN w:val="0"/>
        <w:adjustRightInd w:val="0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Pr="001F6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V. Заключение положения</w:t>
      </w:r>
    </w:p>
    <w:p w:rsidR="00CB2AFE" w:rsidRPr="001F69CF" w:rsidRDefault="00CB2AFE" w:rsidP="00CB2AF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 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F69CF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1F69CF">
        <w:rPr>
          <w:rStyle w:val="blk"/>
          <w:rFonts w:ascii="Times New Roman" w:hAnsi="Times New Roman" w:cs="Times New Roman"/>
          <w:sz w:val="24"/>
          <w:szCs w:val="24"/>
        </w:rPr>
        <w:t>.2.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4.3. </w:t>
      </w:r>
      <w:r w:rsidRPr="001F69CF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4.4.</w:t>
      </w:r>
      <w:r w:rsidRPr="001F69CF">
        <w:rPr>
          <w:rStyle w:val="blk"/>
          <w:rFonts w:ascii="Times New Roman" w:hAnsi="Times New Roman" w:cs="Times New Roman"/>
          <w:sz w:val="24"/>
          <w:szCs w:val="24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Недействительные бюллетени подсчитываются и суммируются отдельно.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. 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4.6</w:t>
      </w:r>
      <w:r w:rsidRPr="001F69CF">
        <w:rPr>
          <w:rStyle w:val="blk"/>
          <w:rFonts w:ascii="Times New Roman" w:hAnsi="Times New Roman" w:cs="Times New Roman"/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B2AFE" w:rsidRPr="001F69CF" w:rsidRDefault="00CB2AFE" w:rsidP="00CB2AF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4.7.</w:t>
      </w:r>
      <w:r w:rsidRPr="001F69CF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4.8.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4.9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CB2AFE" w:rsidRPr="001F69CF" w:rsidRDefault="00CB2AFE" w:rsidP="00CB2A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4.10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территориальной счетной комиссии о результатах голосования на счетном участке (в </w:t>
      </w:r>
      <w:r w:rsidRPr="001F69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итоговом протоколе Общественной 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омиссии об итогах голосования в</w:t>
      </w:r>
      <w:r w:rsidRPr="001F69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1F69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районе г. Челябинска) указываются:</w:t>
      </w:r>
    </w:p>
    <w:p w:rsidR="00CB2AFE" w:rsidRPr="001F69CF" w:rsidRDefault="00CB2AFE" w:rsidP="00CB2A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69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число граждан, принявших участие в голосовании;</w:t>
      </w:r>
    </w:p>
    <w:p w:rsidR="00CB2AFE" w:rsidRPr="001F69CF" w:rsidRDefault="00CB2AFE" w:rsidP="00CB2A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69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 голосования, отданных за каждую территорию.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4.11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комиссией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протоколов территориальных счетных комиссий, и оформляется итоговым протоколом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не позднее, чем через пять дней со дня проведения голосования.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4.12.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После оформления итогов голосования по общественным территориям председатель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Г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лаве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 итоговый протокол результатов голосования.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4.13.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Итоговый протокол территориальной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комиссии 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подписания протокола. Итоговый протокол 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составляется в двух экземплярах. 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>Списки, использованные бюллетени и протоколы территориальных счетных комиссий для голосования передают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 на ответственное хранение в А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дминистрацию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Челябинска.</w:t>
      </w:r>
    </w:p>
    <w:p w:rsidR="00CB2AFE" w:rsidRPr="001F69CF" w:rsidRDefault="00CB2AFE" w:rsidP="00CB2A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4.14.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информационно-телекоммуникационной сети «Интернет».</w:t>
      </w:r>
    </w:p>
    <w:p w:rsidR="00CB2AFE" w:rsidRPr="001F69CF" w:rsidRDefault="00CB2AFE" w:rsidP="00CB2AF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4.15.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F69CF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бюллетени, протоколы территориальных счетных комиссий, итоговый протокол в течение одного года хранятся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69CF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1F69CF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1F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</w:t>
      </w:r>
      <w:r w:rsidRPr="001F69CF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F69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B2AFE" w:rsidRPr="001F69CF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Pr="001F69CF" w:rsidRDefault="00CB2AFE" w:rsidP="00CB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C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B2AFE" w:rsidRPr="001F69CF" w:rsidRDefault="00CB2AFE" w:rsidP="00CB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C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9CF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1F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FE" w:rsidRPr="001F69CF" w:rsidRDefault="00CB2AFE" w:rsidP="00CB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Pr="001F69CF" w:rsidRDefault="00CB2AFE" w:rsidP="00CB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Pr="001F69CF" w:rsidRDefault="00CB2AFE" w:rsidP="00CB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CF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9CF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1F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AFE" w:rsidRDefault="00CB2AFE" w:rsidP="00CB2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5EB" w:rsidRDefault="004C65EB">
      <w:bookmarkStart w:id="0" w:name="_GoBack"/>
      <w:bookmarkEnd w:id="0"/>
    </w:p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D20"/>
    <w:multiLevelType w:val="multilevel"/>
    <w:tmpl w:val="1660A304"/>
    <w:lvl w:ilvl="0">
      <w:start w:val="3"/>
      <w:numFmt w:val="upperRoman"/>
      <w:lvlText w:val="%1."/>
      <w:lvlJc w:val="left"/>
      <w:pPr>
        <w:ind w:left="220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eastAsia="Times New Roman" w:hint="default"/>
      </w:rPr>
    </w:lvl>
  </w:abstractNum>
  <w:abstractNum w:abstractNumId="1">
    <w:nsid w:val="53F70065"/>
    <w:multiLevelType w:val="hybridMultilevel"/>
    <w:tmpl w:val="5A84EB1A"/>
    <w:lvl w:ilvl="0" w:tplc="1C287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0F3F49"/>
    <w:rsid w:val="00354B85"/>
    <w:rsid w:val="00391D35"/>
    <w:rsid w:val="004C65EB"/>
    <w:rsid w:val="004F155F"/>
    <w:rsid w:val="0078273C"/>
    <w:rsid w:val="008A718F"/>
    <w:rsid w:val="00A014FD"/>
    <w:rsid w:val="00C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CB2AFE"/>
  </w:style>
  <w:style w:type="paragraph" w:styleId="a3">
    <w:name w:val="List Paragraph"/>
    <w:basedOn w:val="a"/>
    <w:uiPriority w:val="34"/>
    <w:qFormat/>
    <w:rsid w:val="00CB2AF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CB2AFE"/>
  </w:style>
  <w:style w:type="paragraph" w:styleId="a3">
    <w:name w:val="List Paragraph"/>
    <w:basedOn w:val="a"/>
    <w:uiPriority w:val="34"/>
    <w:qFormat/>
    <w:rsid w:val="00CB2A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2019-02-12T11:16:00Z</dcterms:created>
  <dcterms:modified xsi:type="dcterms:W3CDTF">2019-02-12T11:16:00Z</dcterms:modified>
</cp:coreProperties>
</file>